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E075A3" w:rsidRPr="00E075A3" w14:paraId="5023CE6B" w14:textId="77777777" w:rsidTr="00A710C2">
        <w:tc>
          <w:tcPr>
            <w:tcW w:w="4077" w:type="dxa"/>
            <w:shd w:val="clear" w:color="auto" w:fill="auto"/>
            <w:vAlign w:val="center"/>
          </w:tcPr>
          <w:p w14:paraId="359BC3F1" w14:textId="17EE3D5A" w:rsidR="00E075A3" w:rsidRPr="00E075A3" w:rsidRDefault="00E075A3" w:rsidP="00E075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Calibri" w:hAnsi="Arial Narrow" w:cs="Times New Roman"/>
                <w:sz w:val="20"/>
                <w:szCs w:val="20"/>
                <w:lang w:eastAsia="fr-FR"/>
              </w:rPr>
            </w:pPr>
            <w:r w:rsidRPr="00E075A3">
              <w:rPr>
                <w:rFonts w:ascii="Arial Narrow" w:eastAsia="Calibri" w:hAnsi="Arial Narrow" w:cs="Times New Roman"/>
                <w:noProof/>
                <w:sz w:val="20"/>
                <w:lang w:eastAsia="fr-FR"/>
              </w:rPr>
              <w:drawing>
                <wp:inline distT="0" distB="0" distL="0" distR="0" wp14:anchorId="64D76071" wp14:editId="5FF6BE45">
                  <wp:extent cx="2095500" cy="777240"/>
                  <wp:effectExtent l="0" t="0" r="0" b="3810"/>
                  <wp:docPr id="1" name="Image 1" descr="http://intranetchba.chba.fr/sites/chba/Charte%20graphique/Logos/Logo%20GHBA/GHBA-GROUPEMENT%20FOND%20BLAN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http://intranetchba.chba.fr/sites/chba/Charte%20graphique/Logos/Logo%20GHBA/GHBA-GROUPEMENT%20FOND%20BLAN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5" w:type="dxa"/>
            <w:shd w:val="clear" w:color="auto" w:fill="auto"/>
            <w:vAlign w:val="center"/>
          </w:tcPr>
          <w:p w14:paraId="33B8B5D0" w14:textId="77777777" w:rsidR="00E075A3" w:rsidRPr="00E075A3" w:rsidRDefault="00E075A3" w:rsidP="00E075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Calibri" w:hAnsi="Arial Narrow" w:cs="Times New Roman"/>
                <w:b/>
                <w:sz w:val="20"/>
                <w:szCs w:val="20"/>
                <w:lang w:eastAsia="fr-FR"/>
              </w:rPr>
            </w:pPr>
            <w:r w:rsidRPr="00E075A3">
              <w:rPr>
                <w:rFonts w:ascii="Arial Narrow" w:eastAsia="Calibri" w:hAnsi="Arial Narrow" w:cs="Times New Roman"/>
                <w:b/>
                <w:sz w:val="28"/>
                <w:szCs w:val="20"/>
                <w:lang w:eastAsia="fr-FR"/>
              </w:rPr>
              <w:t>GROUPEMENT DE COMMANDES POUR LA FOURNITURE DE DISPOSITIFS MEDICAUX D’ANESTHESIE</w:t>
            </w:r>
          </w:p>
        </w:tc>
      </w:tr>
    </w:tbl>
    <w:p w14:paraId="410AC763" w14:textId="3F601A22" w:rsidR="00B367B9" w:rsidRPr="009F30B2" w:rsidRDefault="00B367B9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0613A9F9" w14:textId="482085E8" w:rsidR="007C50F9" w:rsidRPr="007C50F9" w:rsidRDefault="007C50F9" w:rsidP="009214E6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7C50F9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FOURNITURE DE DISPOSITIFS MEDICAUX </w:t>
      </w:r>
      <w:r w:rsidR="009214E6">
        <w:rPr>
          <w:rFonts w:ascii="Arial Narrow" w:eastAsia="Calibri" w:hAnsi="Arial Narrow" w:cs="Times New Roman"/>
          <w:b/>
          <w:color w:val="FFFFFF"/>
          <w:sz w:val="28"/>
          <w:szCs w:val="28"/>
        </w:rPr>
        <w:t>D’A</w:t>
      </w:r>
      <w:r w:rsidR="00E075A3">
        <w:rPr>
          <w:rFonts w:ascii="Arial Narrow" w:eastAsia="Calibri" w:hAnsi="Arial Narrow" w:cs="Times New Roman"/>
          <w:b/>
          <w:color w:val="FFFFFF"/>
          <w:sz w:val="28"/>
          <w:szCs w:val="28"/>
        </w:rPr>
        <w:t>NESTHESIE</w:t>
      </w:r>
    </w:p>
    <w:p w14:paraId="5BCBD6B7" w14:textId="77777777" w:rsidR="00273935" w:rsidRPr="009F30B2" w:rsidRDefault="00273935" w:rsidP="00E850BE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35F91687" w14:textId="1522C424" w:rsidR="00A80170" w:rsidRPr="009F30B2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LOGISTIQUES,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COMMERCIALES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ET </w:t>
      </w:r>
      <w:r w:rsidR="002B5AFF" w:rsidRPr="002B5AFF">
        <w:rPr>
          <w:rFonts w:ascii="Arial Narrow" w:hAnsi="Arial Narrow"/>
          <w:b/>
          <w:color w:val="FFFFFF" w:themeColor="background1"/>
          <w:sz w:val="28"/>
          <w:szCs w:val="20"/>
        </w:rPr>
        <w:t>ENVIRONNEMENT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>ALES PROPOSEES PAR LE FOURNISSEUR</w:t>
      </w:r>
      <w:r w:rsidR="00FA04B7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0E8DFEB1" w14:textId="6680ED5D" w:rsidR="00B367B9" w:rsidRDefault="00B367B9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B1EFA99" w14:textId="77777777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720CE3B" w14:textId="77777777" w:rsidR="009F30B2" w:rsidRPr="00B367B9" w:rsidRDefault="009F30B2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10946D47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930E6FB" w14:textId="77777777" w:rsidR="00126C04" w:rsidRPr="009F30B2" w:rsidRDefault="00126C0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419E8C6" w14:textId="29255731" w:rsidR="00E50124" w:rsidRPr="00FF16C7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FF16C7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FF16C7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0DEAFA17" w:rsidR="00FA04B7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A88EBEC" w14:textId="77777777" w:rsidR="00E075A3" w:rsidRPr="009F30B2" w:rsidRDefault="00E075A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FF16C7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3B6C63D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80"/>
        <w:gridCol w:w="77"/>
        <w:gridCol w:w="2404"/>
      </w:tblGrid>
      <w:tr w:rsidR="007C50F9" w:rsidRPr="00EA0E62" w14:paraId="7A63AD8B" w14:textId="77777777" w:rsidTr="006145EE">
        <w:tc>
          <w:tcPr>
            <w:tcW w:w="4673" w:type="dxa"/>
          </w:tcPr>
          <w:p w14:paraId="3F560770" w14:textId="3BE1ED92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Nom du transporteur :</w:t>
            </w:r>
          </w:p>
        </w:tc>
        <w:tc>
          <w:tcPr>
            <w:tcW w:w="2557" w:type="dxa"/>
            <w:gridSpan w:val="2"/>
          </w:tcPr>
          <w:p w14:paraId="6268328C" w14:textId="7CBFA5B1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4" w:type="dxa"/>
          </w:tcPr>
          <w:p w14:paraId="5267FD0D" w14:textId="67D8A1AF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C50F9" w:rsidRPr="00EA0E62" w14:paraId="6B0FD8FB" w14:textId="77777777" w:rsidTr="008E543D">
        <w:tc>
          <w:tcPr>
            <w:tcW w:w="9634" w:type="dxa"/>
            <w:gridSpan w:val="4"/>
          </w:tcPr>
          <w:p w14:paraId="53F14C7A" w14:textId="074AD9CE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7C50F9" w:rsidRPr="00EA0E62" w14:paraId="24C5A197" w14:textId="77777777" w:rsidTr="003938BB">
        <w:tc>
          <w:tcPr>
            <w:tcW w:w="4673" w:type="dxa"/>
          </w:tcPr>
          <w:p w14:paraId="5D0594D2" w14:textId="69FE7E5A" w:rsidR="007C50F9" w:rsidRPr="00EA0E62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6AC086A6" w14:textId="72D958F8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81" w:type="dxa"/>
            <w:gridSpan w:val="2"/>
          </w:tcPr>
          <w:p w14:paraId="3A2B28B6" w14:textId="17371D34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7C50F9" w:rsidRPr="00EA0E62" w14:paraId="169F21C5" w14:textId="77777777" w:rsidTr="006145EE">
        <w:tc>
          <w:tcPr>
            <w:tcW w:w="4673" w:type="dxa"/>
          </w:tcPr>
          <w:p w14:paraId="7754DDDF" w14:textId="24168FDC" w:rsidR="007C50F9" w:rsidRPr="007C50F9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C50F9">
              <w:rPr>
                <w:rFonts w:ascii="Arial Narrow" w:hAnsi="Arial Narrow"/>
                <w:sz w:val="20"/>
                <w:szCs w:val="20"/>
              </w:rPr>
              <w:t>Si oui, fournir une annexe relative au colisage</w:t>
            </w:r>
          </w:p>
        </w:tc>
        <w:tc>
          <w:tcPr>
            <w:tcW w:w="4961" w:type="dxa"/>
            <w:gridSpan w:val="3"/>
          </w:tcPr>
          <w:p w14:paraId="0DD0998B" w14:textId="77777777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3EF34A" w14:textId="320842F6" w:rsidR="007C50F9" w:rsidRDefault="007C50F9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572C83A5" w:rsidR="00590E24" w:rsidRPr="00FF16C7" w:rsidRDefault="00E50124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Modalités de livraison et frais de port</w:t>
      </w:r>
      <w:r w:rsidR="00CE6103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77777777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77777777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77777777" w:rsidR="001F3BC5" w:rsidRPr="00EA0E62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2524"/>
        <w:gridCol w:w="2494"/>
      </w:tblGrid>
      <w:tr w:rsidR="00EA0E62" w:rsidRPr="00EA0E62" w14:paraId="32146BBB" w14:textId="77777777" w:rsidTr="002B5AFF">
        <w:tc>
          <w:tcPr>
            <w:tcW w:w="4616" w:type="dxa"/>
          </w:tcPr>
          <w:p w14:paraId="7E61F7D4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normale en semaine</w:t>
            </w:r>
            <w:r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– Délai de livraison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3F71774" w14:textId="25303375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021246" w14:textId="6D71A4AB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8ABD41" w14:textId="6C4EB9A8" w:rsidR="00BE238A" w:rsidRPr="00EA0E62" w:rsidRDefault="00BE238A" w:rsidP="00BE2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8B4A44" w14:textId="150BB096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Heure limite de commande : </w:t>
            </w:r>
          </w:p>
        </w:tc>
        <w:tc>
          <w:tcPr>
            <w:tcW w:w="2524" w:type="dxa"/>
          </w:tcPr>
          <w:p w14:paraId="58AD02DF" w14:textId="4CE0C2F1" w:rsidR="00BE238A" w:rsidRPr="00EA0E62" w:rsidRDefault="00BE2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53FBB5" w14:textId="3756705C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0A215A88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24h &lt; min &lt; O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u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=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2494" w:type="dxa"/>
          </w:tcPr>
          <w:p w14:paraId="6A0738A1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77777777" w:rsidR="009F30B2" w:rsidRPr="00EA0E6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77777777" w:rsidR="006D117C" w:rsidRPr="00EA0E62" w:rsidRDefault="006D117C" w:rsidP="006D117C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en urgence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 sous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BE4AC1" w14:textId="77777777" w:rsidR="00590E24" w:rsidRPr="00EA0E62" w:rsidRDefault="00590E24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Traitement des commandes exceptionnelles avec livraison le week-end et 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E481FB" w14:textId="6F5B43FC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B4C1788" w14:textId="41CF6C9D" w:rsidR="00E075A3" w:rsidRDefault="00E075A3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p w14:paraId="4D869F7F" w14:textId="77777777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E559DE6" w14:textId="597D95CA" w:rsidR="009F30B2" w:rsidRPr="00FF16C7" w:rsidRDefault="0092789F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Gestion des ruptures</w:t>
      </w:r>
      <w:r w:rsidR="00A873DE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EA0E62" w:rsidRPr="00EA0E62" w14:paraId="3871947E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471DAE1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Information de rupture transmise à l’ANSM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5EE6B437" w14:textId="1C2BDF1E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dashed" w:sz="4" w:space="0" w:color="auto"/>
              <w:right w:val="dashed" w:sz="4" w:space="0" w:color="auto"/>
            </w:tcBorders>
          </w:tcPr>
          <w:p w14:paraId="539C90F3" w14:textId="46308420" w:rsidR="00126C04" w:rsidRPr="00EA0E62" w:rsidRDefault="0027339E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26C04" w:rsidRPr="00EA0E62" w14:paraId="3954215A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785A73EC" w14:textId="77777777" w:rsidR="00126C04" w:rsidRPr="00EA0E62" w:rsidRDefault="00126C04" w:rsidP="00126C04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411E0FE2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9041C6" w14:textId="77777777" w:rsidR="00126C04" w:rsidRPr="00EA0E62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1699309F" w:rsidR="00BE238A" w:rsidRPr="00EA0E62" w:rsidRDefault="00BE238A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E075A3">
              <w:rPr>
                <w:rFonts w:ascii="Arial Narrow" w:hAnsi="Arial Narrow"/>
                <w:b/>
                <w:sz w:val="20"/>
                <w:szCs w:val="20"/>
              </w:rPr>
              <w:t xml:space="preserve"> et au Coordonnateur</w:t>
            </w:r>
            <w:r w:rsidR="007C50F9">
              <w:rPr>
                <w:rFonts w:ascii="Arial Narrow" w:hAnsi="Arial Narrow"/>
                <w:b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2CA49676" w14:textId="77777777" w:rsidR="002515FB" w:rsidRPr="00EA0E62" w:rsidRDefault="002515FB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752B1929" w14:textId="77777777" w:rsidR="002515FB" w:rsidRPr="00EA0E62" w:rsidRDefault="002515FB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6453B9A3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E1AF51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1CEB58D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en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9473D18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45BB5FF" w14:textId="77777777" w:rsidR="00661475" w:rsidRDefault="00661475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79221D6" w14:textId="77777777" w:rsidR="00661475" w:rsidRDefault="00661475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BA236E8" w14:textId="4D61AF62" w:rsidR="00661475" w:rsidRDefault="00661475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906DA36" w14:textId="77777777" w:rsidR="00541B03" w:rsidRDefault="00541B03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6EE2FE4" w14:textId="77777777" w:rsidR="000B1D1D" w:rsidRPr="009F30B2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AB03BB6" w14:textId="091E5B85" w:rsidR="0092789F" w:rsidRPr="00FF16C7" w:rsidRDefault="0092789F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2B33E1BB" w14:textId="77777777" w:rsidR="00E3097A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77777777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B11B2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1D9D70A5" w14:textId="77777777" w:rsidR="003E2F55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44CE3471" w14:textId="5F1AE926" w:rsidR="00DA40A4" w:rsidRDefault="00DA40A4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p w14:paraId="266F49BF" w14:textId="166CF04B" w:rsidR="00661475" w:rsidRDefault="00661475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p w14:paraId="6C4B20CB" w14:textId="77777777" w:rsidR="00661475" w:rsidRDefault="00661475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p w14:paraId="151792ED" w14:textId="446C4312" w:rsidR="00E075A3" w:rsidRDefault="00E075A3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p w14:paraId="0855F37E" w14:textId="77777777" w:rsidR="00E075A3" w:rsidRDefault="00E075A3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509"/>
        <w:gridCol w:w="2370"/>
      </w:tblGrid>
      <w:tr w:rsidR="00493D0B" w14:paraId="6B9AF2DE" w14:textId="77777777" w:rsidTr="002B5AFF">
        <w:tc>
          <w:tcPr>
            <w:tcW w:w="4678" w:type="dxa"/>
            <w:tcBorders>
              <w:bottom w:val="dashed" w:sz="4" w:space="0" w:color="auto"/>
            </w:tcBorders>
          </w:tcPr>
          <w:p w14:paraId="13B47216" w14:textId="77777777" w:rsidR="00493D0B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Remises liées aux conditions logistiques :</w:t>
            </w: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2B5AFF"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EA0E62" w:rsidRDefault="00493D0B" w:rsidP="005065D0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Remises de fin d’année :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228EDC76" w14:textId="77777777" w:rsidR="006D7DF2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>
        <w:rPr>
          <w:rFonts w:ascii="Arial Narrow" w:hAnsi="Arial Narrow"/>
          <w:sz w:val="20"/>
          <w:szCs w:val="20"/>
        </w:rPr>
        <w:t>T</w:t>
      </w:r>
      <w:r w:rsidRPr="009F30B2">
        <w:rPr>
          <w:rFonts w:ascii="Arial Narrow" w:hAnsi="Arial Narrow"/>
          <w:sz w:val="20"/>
          <w:szCs w:val="20"/>
        </w:rPr>
        <w:t xml:space="preserve">itulaire a l’obligation d’envoyer par lettre recommandée avec avis de réception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04B8B0F1" w14:textId="335A2494" w:rsidR="00E42397" w:rsidRDefault="00E4239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439FE89" w14:textId="77777777" w:rsidR="00041ED7" w:rsidRDefault="00041ED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A0148AD" w14:textId="68196F79" w:rsidR="00920038" w:rsidRPr="00FF16C7" w:rsidRDefault="00E075A3" w:rsidP="00920038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>
        <w:rPr>
          <w:rFonts w:ascii="Arial Narrow" w:hAnsi="Arial Narrow"/>
          <w:b/>
          <w:color w:val="2FB9CA"/>
          <w:sz w:val="22"/>
          <w:szCs w:val="22"/>
        </w:rPr>
        <w:t>DEMARCHE ENVIRONNEMENTALE</w:t>
      </w:r>
      <w:r w:rsidR="0040737B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6761F567" w14:textId="3410715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EA0E62" w14:paraId="719C0CE6" w14:textId="77777777" w:rsidTr="002B5AFF">
        <w:tc>
          <w:tcPr>
            <w:tcW w:w="9634" w:type="dxa"/>
            <w:gridSpan w:val="3"/>
          </w:tcPr>
          <w:p w14:paraId="7A5A3479" w14:textId="1E4BBB32" w:rsidR="00920038" w:rsidRPr="00EA0E62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Conditionnement – </w:t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Présence </w:t>
            </w:r>
            <w:r w:rsidRPr="002B5AFF">
              <w:rPr>
                <w:rFonts w:ascii="Arial Narrow" w:hAnsi="Arial Narrow"/>
                <w:sz w:val="20"/>
              </w:rPr>
              <w:t xml:space="preserve">de matériaux recyclés ou labellisés FSC (Forest </w:t>
            </w:r>
            <w:proofErr w:type="spellStart"/>
            <w:r w:rsidRPr="002B5AFF">
              <w:rPr>
                <w:rFonts w:ascii="Arial Narrow" w:hAnsi="Arial Narrow"/>
                <w:sz w:val="20"/>
              </w:rPr>
              <w:t>Stewardship</w:t>
            </w:r>
            <w:proofErr w:type="spellEnd"/>
            <w:r w:rsidRPr="002B5AFF">
              <w:rPr>
                <w:rFonts w:ascii="Arial Narrow" w:hAnsi="Arial Narrow"/>
                <w:sz w:val="20"/>
              </w:rPr>
              <w:t xml:space="preserve"> Council) ou PEFC (Programme de reconnaissance des certifications forestières) ou recyclables dans la composition des conditionnements secondaires des produits proposés pour ce marché :</w:t>
            </w:r>
          </w:p>
        </w:tc>
      </w:tr>
      <w:tr w:rsidR="00920038" w:rsidRPr="00EA0E62" w14:paraId="1EEE467A" w14:textId="77777777" w:rsidTr="002B5AFF">
        <w:tc>
          <w:tcPr>
            <w:tcW w:w="4673" w:type="dxa"/>
          </w:tcPr>
          <w:p w14:paraId="0AA7D901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643CC22B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09F1DE6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20038" w:rsidRPr="00EA0E62" w14:paraId="734B2D4D" w14:textId="77777777" w:rsidTr="002B5AFF">
        <w:tc>
          <w:tcPr>
            <w:tcW w:w="4673" w:type="dxa"/>
          </w:tcPr>
          <w:p w14:paraId="7319B0DC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BA2E308" w14:textId="3D78B839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72EC6E2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5DA1423" w14:textId="4A437F9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2B5AFF" w14:paraId="00ED9448" w14:textId="77777777" w:rsidTr="002B5AFF">
        <w:tc>
          <w:tcPr>
            <w:tcW w:w="9634" w:type="dxa"/>
            <w:gridSpan w:val="3"/>
          </w:tcPr>
          <w:p w14:paraId="49A959F9" w14:textId="657F71DC" w:rsidR="00920038" w:rsidRPr="002B5AFF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b/>
                <w:sz w:val="20"/>
                <w:szCs w:val="20"/>
              </w:rPr>
              <w:t xml:space="preserve">Livraison – </w:t>
            </w:r>
            <w:r w:rsidRPr="002B5AFF">
              <w:rPr>
                <w:rFonts w:ascii="Arial Narrow" w:hAnsi="Arial Narrow"/>
                <w:sz w:val="20"/>
                <w:szCs w:val="20"/>
              </w:rPr>
              <w:t>Mise en œuvre d’une politique</w:t>
            </w:r>
            <w:r w:rsidRPr="002B5AFF">
              <w:rPr>
                <w:rFonts w:ascii="Arial Narrow" w:hAnsi="Arial Narrow"/>
                <w:sz w:val="20"/>
              </w:rPr>
              <w:t xml:space="preserve"> d’optimisation des livraisons et du transport des produits proposés</w:t>
            </w:r>
            <w:r w:rsidR="002B5AFF" w:rsidRPr="002B5AFF">
              <w:rPr>
                <w:rFonts w:ascii="Arial Narrow" w:hAnsi="Arial Narrow"/>
                <w:sz w:val="20"/>
              </w:rPr>
              <w:t>,</w:t>
            </w:r>
            <w:r w:rsidRPr="002B5AFF">
              <w:rPr>
                <w:rFonts w:ascii="Arial Narrow" w:hAnsi="Arial Narrow"/>
                <w:sz w:val="20"/>
              </w:rPr>
              <w:t xml:space="preserve"> du lieu de production jusqu’à la livraison finale</w:t>
            </w:r>
            <w:r w:rsidR="002B5AFF" w:rsidRPr="002B5AFF">
              <w:rPr>
                <w:rFonts w:ascii="Arial Narrow" w:hAnsi="Arial Narrow"/>
                <w:sz w:val="20"/>
              </w:rPr>
              <w:t>, dans le cadre de ce marché</w:t>
            </w:r>
            <w:r w:rsidRPr="002B5AFF">
              <w:rPr>
                <w:rFonts w:ascii="Arial Narrow" w:hAnsi="Arial Narrow"/>
                <w:sz w:val="20"/>
              </w:rPr>
              <w:t>:</w:t>
            </w:r>
          </w:p>
        </w:tc>
      </w:tr>
      <w:tr w:rsidR="00920038" w:rsidRPr="002B5AFF" w14:paraId="61959B3F" w14:textId="77777777" w:rsidTr="002B5AFF">
        <w:tc>
          <w:tcPr>
            <w:tcW w:w="4673" w:type="dxa"/>
          </w:tcPr>
          <w:p w14:paraId="355E3412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A006CEE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7D5FDC5B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61475">
              <w:rPr>
                <w:rFonts w:ascii="Arial Narrow" w:hAnsi="Arial Narrow"/>
                <w:sz w:val="20"/>
                <w:szCs w:val="20"/>
              </w:rPr>
            </w:r>
            <w:r w:rsidR="0066147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920038" w:rsidRPr="00EA0E62" w14:paraId="71C524B6" w14:textId="77777777" w:rsidTr="002B5AFF">
        <w:tc>
          <w:tcPr>
            <w:tcW w:w="4673" w:type="dxa"/>
          </w:tcPr>
          <w:p w14:paraId="4371BA65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D088DD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4C36EA3E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65241B1" w14:textId="190B9D02" w:rsidR="00147F3F" w:rsidRDefault="00147F3F" w:rsidP="00147F3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6D930441" w14:textId="77777777" w:rsidR="00EC666E" w:rsidRDefault="00EC666E" w:rsidP="00147F3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CAF1575" w14:textId="700BDAD2" w:rsidR="00147F3F" w:rsidRPr="006D35A6" w:rsidRDefault="00147F3F" w:rsidP="00041ED7">
      <w:pPr>
        <w:pStyle w:val="Titre2"/>
        <w:numPr>
          <w:ilvl w:val="0"/>
          <w:numId w:val="20"/>
        </w:numPr>
        <w:spacing w:before="0" w:line="240" w:lineRule="auto"/>
        <w:ind w:left="426" w:hanging="426"/>
        <w:jc w:val="both"/>
        <w:rPr>
          <w:rFonts w:ascii="Arial Narrow" w:hAnsi="Arial Narrow"/>
          <w:b/>
          <w:color w:val="2FB9CA"/>
          <w:sz w:val="22"/>
          <w:szCs w:val="22"/>
        </w:rPr>
      </w:pPr>
      <w:r w:rsidRPr="006D35A6">
        <w:rPr>
          <w:rFonts w:ascii="Arial Narrow" w:hAnsi="Arial Narrow"/>
          <w:b/>
          <w:color w:val="2FB9CA"/>
          <w:sz w:val="22"/>
          <w:szCs w:val="22"/>
        </w:rPr>
        <w:t xml:space="preserve">LOTS </w:t>
      </w:r>
      <w:r w:rsidR="00E075A3" w:rsidRPr="00E075A3">
        <w:rPr>
          <w:rFonts w:ascii="Arial Narrow" w:hAnsi="Arial Narrow"/>
          <w:b/>
          <w:color w:val="2FB9CA"/>
          <w:sz w:val="22"/>
          <w:szCs w:val="22"/>
        </w:rPr>
        <w:t>33-35-36-37-38-39-44</w:t>
      </w:r>
      <w:r w:rsidR="00E075A3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041ED7">
        <w:rPr>
          <w:rFonts w:ascii="Arial Narrow" w:hAnsi="Arial Narrow"/>
          <w:b/>
          <w:color w:val="2FB9CA"/>
          <w:sz w:val="22"/>
          <w:szCs w:val="22"/>
        </w:rPr>
        <w:t xml:space="preserve">- </w:t>
      </w:r>
      <w:r w:rsidRPr="006D35A6">
        <w:rPr>
          <w:rFonts w:ascii="Arial Narrow" w:hAnsi="Arial Narrow"/>
          <w:b/>
          <w:color w:val="2FB9CA"/>
          <w:sz w:val="22"/>
          <w:szCs w:val="22"/>
        </w:rPr>
        <w:t xml:space="preserve">MAINTENANCE </w:t>
      </w:r>
    </w:p>
    <w:p w14:paraId="53D6E5BF" w14:textId="77777777" w:rsidR="00147F3F" w:rsidRPr="00E42397" w:rsidRDefault="00147F3F" w:rsidP="00147F3F">
      <w:pPr>
        <w:spacing w:after="0" w:line="240" w:lineRule="auto"/>
        <w:rPr>
          <w:rFonts w:ascii="Arial Narrow" w:hAnsi="Arial Narrow"/>
          <w:i/>
          <w:sz w:val="20"/>
          <w:szCs w:val="20"/>
          <w:highlight w:val="yellow"/>
        </w:rPr>
      </w:pPr>
    </w:p>
    <w:p w14:paraId="7638ABB9" w14:textId="511D4E08" w:rsidR="00147F3F" w:rsidRDefault="00041ED7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6D35A6">
        <w:rPr>
          <w:rFonts w:ascii="Arial Narrow" w:hAnsi="Arial Narrow"/>
          <w:sz w:val="20"/>
          <w:szCs w:val="20"/>
        </w:rPr>
        <w:t>Pour les</w:t>
      </w:r>
      <w:r w:rsidRPr="006D35A6">
        <w:rPr>
          <w:rFonts w:ascii="Arial Narrow" w:hAnsi="Arial Narrow"/>
          <w:b/>
          <w:sz w:val="20"/>
          <w:szCs w:val="20"/>
        </w:rPr>
        <w:t xml:space="preserve"> lots </w:t>
      </w:r>
      <w:r w:rsidR="00E075A3" w:rsidRPr="00E075A3">
        <w:rPr>
          <w:rFonts w:ascii="Arial Narrow" w:hAnsi="Arial Narrow"/>
          <w:b/>
          <w:sz w:val="20"/>
          <w:szCs w:val="20"/>
        </w:rPr>
        <w:t>33-35-36-37-38-39-44</w:t>
      </w:r>
      <w:r>
        <w:rPr>
          <w:rFonts w:ascii="Arial Narrow" w:hAnsi="Arial Narrow"/>
          <w:b/>
          <w:sz w:val="20"/>
          <w:szCs w:val="20"/>
        </w:rPr>
        <w:t xml:space="preserve">, </w:t>
      </w:r>
      <w:r w:rsidRPr="00041ED7">
        <w:rPr>
          <w:rFonts w:ascii="Arial Narrow" w:hAnsi="Arial Narrow"/>
          <w:sz w:val="20"/>
          <w:szCs w:val="20"/>
        </w:rPr>
        <w:t>p</w:t>
      </w:r>
      <w:r w:rsidR="00147F3F" w:rsidRPr="00041ED7">
        <w:rPr>
          <w:rFonts w:ascii="Arial Narrow" w:hAnsi="Arial Narrow"/>
          <w:sz w:val="20"/>
          <w:szCs w:val="20"/>
        </w:rPr>
        <w:t>ré</w:t>
      </w:r>
      <w:r w:rsidR="00147F3F" w:rsidRPr="00147F3F">
        <w:rPr>
          <w:rFonts w:ascii="Arial Narrow" w:hAnsi="Arial Narrow"/>
          <w:sz w:val="20"/>
          <w:szCs w:val="20"/>
        </w:rPr>
        <w:t>senter la</w:t>
      </w:r>
      <w:r w:rsidR="00147F3F" w:rsidRPr="00147F3F">
        <w:rPr>
          <w:rFonts w:ascii="Arial Narrow" w:hAnsi="Arial Narrow"/>
          <w:b/>
          <w:sz w:val="20"/>
          <w:szCs w:val="20"/>
        </w:rPr>
        <w:t xml:space="preserve"> méthodologie détaillée </w:t>
      </w:r>
      <w:r w:rsidR="00147F3F" w:rsidRPr="00147F3F">
        <w:rPr>
          <w:rFonts w:ascii="Arial Narrow" w:hAnsi="Arial Narrow"/>
          <w:sz w:val="20"/>
          <w:szCs w:val="20"/>
        </w:rPr>
        <w:t>pour</w:t>
      </w:r>
      <w:r w:rsidR="00147F3F" w:rsidRPr="00147F3F">
        <w:rPr>
          <w:rFonts w:ascii="Arial Narrow" w:hAnsi="Arial Narrow"/>
          <w:b/>
          <w:sz w:val="20"/>
          <w:szCs w:val="20"/>
        </w:rPr>
        <w:t xml:space="preserve"> les interventions de maintenance préventive et/ou curative </w:t>
      </w:r>
      <w:r w:rsidR="00147F3F" w:rsidRPr="006D35A6">
        <w:rPr>
          <w:rFonts w:ascii="Arial Narrow" w:hAnsi="Arial Narrow"/>
          <w:b/>
          <w:sz w:val="20"/>
          <w:szCs w:val="20"/>
        </w:rPr>
        <w:t xml:space="preserve">: </w:t>
      </w:r>
      <w:r>
        <w:rPr>
          <w:rFonts w:ascii="Arial Narrow" w:hAnsi="Arial Narrow"/>
          <w:sz w:val="20"/>
          <w:szCs w:val="20"/>
        </w:rPr>
        <w:t>p</w:t>
      </w:r>
      <w:r w:rsidR="00147F3F" w:rsidRPr="006D35A6">
        <w:rPr>
          <w:rFonts w:ascii="Arial Narrow" w:hAnsi="Arial Narrow"/>
          <w:sz w:val="20"/>
          <w:szCs w:val="20"/>
        </w:rPr>
        <w:t>lan de maintenance, détail des prestations, planning, coordonnées du service après-vente, délais, traçabilité…</w:t>
      </w:r>
    </w:p>
    <w:p w14:paraId="44DC63E4" w14:textId="77777777" w:rsidR="005E439B" w:rsidRDefault="005E439B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1AFC19D" w14:textId="77777777" w:rsidR="005E439B" w:rsidRDefault="005E439B" w:rsidP="005E439B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5E439B">
        <w:rPr>
          <w:rFonts w:ascii="Arial Narrow" w:hAnsi="Arial Narrow"/>
          <w:b/>
          <w:sz w:val="20"/>
          <w:szCs w:val="20"/>
        </w:rPr>
        <w:t>P</w:t>
      </w:r>
      <w:r>
        <w:rPr>
          <w:rFonts w:ascii="Arial Narrow" w:hAnsi="Arial Narrow"/>
          <w:b/>
          <w:sz w:val="20"/>
          <w:szCs w:val="20"/>
        </w:rPr>
        <w:t>réciser la p</w:t>
      </w:r>
      <w:r w:rsidRPr="005E439B">
        <w:rPr>
          <w:rFonts w:ascii="Arial Narrow" w:hAnsi="Arial Narrow"/>
          <w:b/>
          <w:sz w:val="20"/>
          <w:szCs w:val="20"/>
        </w:rPr>
        <w:t>rocédure d’appel et de prise en charge de la demande de dépannage :</w:t>
      </w:r>
    </w:p>
    <w:p w14:paraId="3EC54C60" w14:textId="55F0F12D" w:rsidR="00147F3F" w:rsidRDefault="00147F3F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195AF188" w14:textId="77777777" w:rsidR="00EC666E" w:rsidRDefault="00EC666E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320FE29B" w14:textId="3158E23F" w:rsidR="00147F3F" w:rsidRPr="005E439B" w:rsidRDefault="005E439B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Préciser </w:t>
      </w:r>
      <w:r w:rsidR="00661475">
        <w:rPr>
          <w:rFonts w:ascii="Arial Narrow" w:hAnsi="Arial Narrow"/>
          <w:b/>
          <w:sz w:val="20"/>
          <w:szCs w:val="20"/>
        </w:rPr>
        <w:t>le</w:t>
      </w:r>
      <w:r>
        <w:rPr>
          <w:rFonts w:ascii="Arial Narrow" w:hAnsi="Arial Narrow"/>
          <w:b/>
          <w:sz w:val="20"/>
          <w:szCs w:val="20"/>
        </w:rPr>
        <w:t xml:space="preserve"> d</w:t>
      </w:r>
      <w:r w:rsidR="00E075A3" w:rsidRPr="005E439B">
        <w:rPr>
          <w:rFonts w:ascii="Arial Narrow" w:hAnsi="Arial Narrow"/>
          <w:b/>
          <w:sz w:val="20"/>
          <w:szCs w:val="20"/>
        </w:rPr>
        <w:t>élai de mise à disposition d’un nouvel équipement en cas de panne</w:t>
      </w:r>
      <w:r w:rsidR="00661475">
        <w:rPr>
          <w:rFonts w:ascii="Arial Narrow" w:hAnsi="Arial Narrow"/>
          <w:b/>
          <w:sz w:val="20"/>
          <w:szCs w:val="20"/>
        </w:rPr>
        <w:t xml:space="preserve"> à compter de l’intervention du technicien n’ayant pas remis en fonction le matériel (en jours calendaires)</w:t>
      </w:r>
      <w:r w:rsidR="00E075A3" w:rsidRPr="005E439B">
        <w:rPr>
          <w:rFonts w:ascii="Arial Narrow" w:hAnsi="Arial Narrow"/>
          <w:b/>
          <w:sz w:val="20"/>
          <w:szCs w:val="20"/>
        </w:rPr>
        <w:t xml:space="preserve"> : </w:t>
      </w:r>
    </w:p>
    <w:p w14:paraId="4CE081EC" w14:textId="50F0B42A" w:rsidR="005E439B" w:rsidRDefault="005E439B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3D3C8D38" w14:textId="77777777" w:rsidR="00EC666E" w:rsidRDefault="00EC666E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7D112B8E" w14:textId="09E8B412" w:rsidR="005E439B" w:rsidRPr="005E439B" w:rsidRDefault="005E439B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Préciser </w:t>
      </w:r>
      <w:r w:rsidR="00661475">
        <w:rPr>
          <w:rFonts w:ascii="Arial Narrow" w:hAnsi="Arial Narrow"/>
          <w:b/>
          <w:sz w:val="20"/>
          <w:szCs w:val="20"/>
        </w:rPr>
        <w:t>le</w:t>
      </w:r>
      <w:r>
        <w:rPr>
          <w:rFonts w:ascii="Arial Narrow" w:hAnsi="Arial Narrow"/>
          <w:b/>
          <w:sz w:val="20"/>
          <w:szCs w:val="20"/>
        </w:rPr>
        <w:t xml:space="preserve"> d</w:t>
      </w:r>
      <w:r w:rsidRPr="005E439B">
        <w:rPr>
          <w:rFonts w:ascii="Arial Narrow" w:hAnsi="Arial Narrow"/>
          <w:b/>
          <w:sz w:val="20"/>
          <w:szCs w:val="20"/>
        </w:rPr>
        <w:t xml:space="preserve">élai pour transmettre </w:t>
      </w:r>
      <w:r w:rsidR="00661475">
        <w:rPr>
          <w:rFonts w:ascii="Arial Narrow" w:hAnsi="Arial Narrow"/>
          <w:b/>
          <w:sz w:val="20"/>
          <w:szCs w:val="20"/>
        </w:rPr>
        <w:t>le</w:t>
      </w:r>
      <w:r w:rsidRPr="005E439B">
        <w:rPr>
          <w:rFonts w:ascii="Arial Narrow" w:hAnsi="Arial Narrow"/>
          <w:b/>
          <w:sz w:val="20"/>
          <w:szCs w:val="20"/>
        </w:rPr>
        <w:t xml:space="preserve"> </w:t>
      </w:r>
      <w:r w:rsidRPr="005E439B">
        <w:rPr>
          <w:rFonts w:ascii="Arial Narrow" w:hAnsi="Arial Narrow" w:cs="Times New Roman"/>
          <w:b/>
          <w:sz w:val="20"/>
          <w:szCs w:val="20"/>
        </w:rPr>
        <w:t>rapport d’intervention</w:t>
      </w:r>
      <w:r w:rsidR="00661475">
        <w:rPr>
          <w:rFonts w:ascii="Arial Narrow" w:hAnsi="Arial Narrow" w:cs="Times New Roman"/>
          <w:b/>
          <w:sz w:val="20"/>
          <w:szCs w:val="20"/>
        </w:rPr>
        <w:t xml:space="preserve"> à compter de la date d’intervention du technicien (en jours calendaires)</w:t>
      </w:r>
      <w:bookmarkStart w:id="0" w:name="_GoBack"/>
      <w:bookmarkEnd w:id="0"/>
      <w:r>
        <w:rPr>
          <w:rFonts w:ascii="Arial Narrow" w:hAnsi="Arial Narrow" w:cs="Times New Roman"/>
          <w:sz w:val="20"/>
          <w:szCs w:val="20"/>
        </w:rPr>
        <w:t> :</w:t>
      </w:r>
    </w:p>
    <w:p w14:paraId="741D6874" w14:textId="709F5486" w:rsidR="005E439B" w:rsidRDefault="005E439B" w:rsidP="00147F3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11B475B" w14:textId="3C172A19" w:rsidR="00147F3F" w:rsidRDefault="00147F3F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sectPr w:rsidR="00147F3F" w:rsidSect="00EC666E">
      <w:pgSz w:w="11906" w:h="16838"/>
      <w:pgMar w:top="851" w:right="127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ED242D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31B30"/>
    <w:rsid w:val="00041ED7"/>
    <w:rsid w:val="00043267"/>
    <w:rsid w:val="000A2424"/>
    <w:rsid w:val="000B1D1D"/>
    <w:rsid w:val="000D4FFE"/>
    <w:rsid w:val="000F6253"/>
    <w:rsid w:val="00124A87"/>
    <w:rsid w:val="00126C04"/>
    <w:rsid w:val="00147F3F"/>
    <w:rsid w:val="001853DA"/>
    <w:rsid w:val="001F3BC5"/>
    <w:rsid w:val="002004B6"/>
    <w:rsid w:val="0021136D"/>
    <w:rsid w:val="00221070"/>
    <w:rsid w:val="00233E15"/>
    <w:rsid w:val="002515FB"/>
    <w:rsid w:val="0027339E"/>
    <w:rsid w:val="00273935"/>
    <w:rsid w:val="00275560"/>
    <w:rsid w:val="002859C3"/>
    <w:rsid w:val="002B5AFF"/>
    <w:rsid w:val="002C4B8D"/>
    <w:rsid w:val="002F3263"/>
    <w:rsid w:val="002F4524"/>
    <w:rsid w:val="00304831"/>
    <w:rsid w:val="0030585D"/>
    <w:rsid w:val="00313CA1"/>
    <w:rsid w:val="00332E85"/>
    <w:rsid w:val="00345A1D"/>
    <w:rsid w:val="003D1E06"/>
    <w:rsid w:val="003D28D8"/>
    <w:rsid w:val="003E2F55"/>
    <w:rsid w:val="004071AC"/>
    <w:rsid w:val="0040737B"/>
    <w:rsid w:val="004208CA"/>
    <w:rsid w:val="00443134"/>
    <w:rsid w:val="00493D0B"/>
    <w:rsid w:val="004A1F49"/>
    <w:rsid w:val="004B3025"/>
    <w:rsid w:val="005065D0"/>
    <w:rsid w:val="00524569"/>
    <w:rsid w:val="00525100"/>
    <w:rsid w:val="00541B03"/>
    <w:rsid w:val="00590E24"/>
    <w:rsid w:val="005A2935"/>
    <w:rsid w:val="005B0C8C"/>
    <w:rsid w:val="005C50C7"/>
    <w:rsid w:val="005D0BB6"/>
    <w:rsid w:val="005E037D"/>
    <w:rsid w:val="005E439B"/>
    <w:rsid w:val="00606FE7"/>
    <w:rsid w:val="006163A0"/>
    <w:rsid w:val="00623742"/>
    <w:rsid w:val="00647BD1"/>
    <w:rsid w:val="00661475"/>
    <w:rsid w:val="00690408"/>
    <w:rsid w:val="006D117C"/>
    <w:rsid w:val="006D35A6"/>
    <w:rsid w:val="006D6340"/>
    <w:rsid w:val="006D7DF2"/>
    <w:rsid w:val="00700656"/>
    <w:rsid w:val="00703B53"/>
    <w:rsid w:val="00735C25"/>
    <w:rsid w:val="0074365D"/>
    <w:rsid w:val="007441D6"/>
    <w:rsid w:val="007815BD"/>
    <w:rsid w:val="007A1596"/>
    <w:rsid w:val="007C46BA"/>
    <w:rsid w:val="007C50F9"/>
    <w:rsid w:val="007D0D28"/>
    <w:rsid w:val="0080406C"/>
    <w:rsid w:val="00854879"/>
    <w:rsid w:val="008659E4"/>
    <w:rsid w:val="0086728B"/>
    <w:rsid w:val="008931A7"/>
    <w:rsid w:val="008B6FC7"/>
    <w:rsid w:val="008F6F62"/>
    <w:rsid w:val="00920038"/>
    <w:rsid w:val="009214E6"/>
    <w:rsid w:val="00925D1B"/>
    <w:rsid w:val="0092789F"/>
    <w:rsid w:val="00936282"/>
    <w:rsid w:val="00944393"/>
    <w:rsid w:val="00952488"/>
    <w:rsid w:val="00952F35"/>
    <w:rsid w:val="0097713D"/>
    <w:rsid w:val="0099646A"/>
    <w:rsid w:val="009B28EC"/>
    <w:rsid w:val="009F30B2"/>
    <w:rsid w:val="009F7B56"/>
    <w:rsid w:val="00A03CB0"/>
    <w:rsid w:val="00A30AF3"/>
    <w:rsid w:val="00A462F3"/>
    <w:rsid w:val="00A518CD"/>
    <w:rsid w:val="00A66CC9"/>
    <w:rsid w:val="00A80170"/>
    <w:rsid w:val="00A83452"/>
    <w:rsid w:val="00A855F9"/>
    <w:rsid w:val="00A873DE"/>
    <w:rsid w:val="00A9691B"/>
    <w:rsid w:val="00AB077C"/>
    <w:rsid w:val="00B367B9"/>
    <w:rsid w:val="00B55701"/>
    <w:rsid w:val="00B81423"/>
    <w:rsid w:val="00B82272"/>
    <w:rsid w:val="00BA56F3"/>
    <w:rsid w:val="00BB5442"/>
    <w:rsid w:val="00BE238A"/>
    <w:rsid w:val="00C056B6"/>
    <w:rsid w:val="00C11C36"/>
    <w:rsid w:val="00C2027D"/>
    <w:rsid w:val="00C31E13"/>
    <w:rsid w:val="00C6094D"/>
    <w:rsid w:val="00CC00E7"/>
    <w:rsid w:val="00CC01E8"/>
    <w:rsid w:val="00CE6103"/>
    <w:rsid w:val="00CF069D"/>
    <w:rsid w:val="00D115CD"/>
    <w:rsid w:val="00D2439C"/>
    <w:rsid w:val="00D26C79"/>
    <w:rsid w:val="00D30D42"/>
    <w:rsid w:val="00D43A55"/>
    <w:rsid w:val="00D61856"/>
    <w:rsid w:val="00DA40A4"/>
    <w:rsid w:val="00DF3F4F"/>
    <w:rsid w:val="00E075A3"/>
    <w:rsid w:val="00E12333"/>
    <w:rsid w:val="00E1715C"/>
    <w:rsid w:val="00E3097A"/>
    <w:rsid w:val="00E42397"/>
    <w:rsid w:val="00E50124"/>
    <w:rsid w:val="00E619F0"/>
    <w:rsid w:val="00E850BE"/>
    <w:rsid w:val="00EA0E62"/>
    <w:rsid w:val="00EC0459"/>
    <w:rsid w:val="00EC666E"/>
    <w:rsid w:val="00ED1940"/>
    <w:rsid w:val="00EE57D8"/>
    <w:rsid w:val="00F2342E"/>
    <w:rsid w:val="00F35BF0"/>
    <w:rsid w:val="00F672F6"/>
    <w:rsid w:val="00F85B5E"/>
    <w:rsid w:val="00FA04B7"/>
    <w:rsid w:val="00FB6EB6"/>
    <w:rsid w:val="00FE71D0"/>
    <w:rsid w:val="00F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91F1F-C85C-43EB-BC00-E8A45177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1094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2</cp:revision>
  <cp:lastPrinted>2019-06-12T13:25:00Z</cp:lastPrinted>
  <dcterms:created xsi:type="dcterms:W3CDTF">2025-11-10T10:55:00Z</dcterms:created>
  <dcterms:modified xsi:type="dcterms:W3CDTF">2025-11-10T10:55:00Z</dcterms:modified>
</cp:coreProperties>
</file>